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ajorEastAsia" w:hAnsiTheme="majorEastAsia" w:eastAsiaTheme="majorEastAsia" w:cstheme="majorEastAsia"/>
          <w:b w:val="0"/>
          <w:sz w:val="28"/>
          <w:szCs w:val="28"/>
          <w:lang w:val="en-US" w:eastAsia="zh-CN"/>
        </w:rPr>
      </w:pPr>
      <w:r>
        <w:rPr>
          <w:rFonts w:hint="eastAsia" w:asciiTheme="majorEastAsia" w:hAnsiTheme="majorEastAsia" w:eastAsiaTheme="majorEastAsia" w:cstheme="majorEastAsia"/>
          <w:b w:val="0"/>
          <w:sz w:val="28"/>
          <w:szCs w:val="28"/>
          <w:lang w:eastAsia="zh-CN"/>
        </w:rPr>
        <w:t>附件</w:t>
      </w:r>
      <w:r>
        <w:rPr>
          <w:rFonts w:hint="eastAsia" w:asciiTheme="majorEastAsia" w:hAnsiTheme="majorEastAsia" w:eastAsiaTheme="majorEastAsia" w:cstheme="majorEastAsia"/>
          <w:b w:val="0"/>
          <w:sz w:val="28"/>
          <w:szCs w:val="28"/>
          <w:lang w:val="en-US" w:eastAsia="zh-CN"/>
        </w:rPr>
        <w:t>3：</w:t>
      </w:r>
    </w:p>
    <w:p>
      <w:pPr>
        <w:jc w:val="center"/>
        <w:rPr>
          <w:rFonts w:ascii="方正小标宋简体" w:hAnsi="黑体" w:eastAsia="方正小标宋简体"/>
          <w:b w:val="0"/>
          <w:sz w:val="36"/>
          <w:szCs w:val="36"/>
        </w:rPr>
      </w:pPr>
      <w:r>
        <w:rPr>
          <w:rFonts w:hint="eastAsia" w:ascii="方正小标宋简体" w:hAnsi="黑体" w:eastAsia="方正小标宋简体"/>
          <w:b w:val="0"/>
          <w:sz w:val="36"/>
          <w:szCs w:val="36"/>
        </w:rPr>
        <w:t>2024年通辽市引进人才评价表（**单位）</w:t>
      </w:r>
    </w:p>
    <w:tbl>
      <w:tblPr>
        <w:tblStyle w:val="5"/>
        <w:tblW w:w="9088" w:type="dxa"/>
        <w:jc w:val="center"/>
        <w:tblLayout w:type="fixed"/>
        <w:tblCellMar>
          <w:top w:w="0" w:type="dxa"/>
          <w:left w:w="108" w:type="dxa"/>
          <w:bottom w:w="0" w:type="dxa"/>
          <w:right w:w="108" w:type="dxa"/>
        </w:tblCellMar>
      </w:tblPr>
      <w:tblGrid>
        <w:gridCol w:w="739"/>
        <w:gridCol w:w="713"/>
        <w:gridCol w:w="5377"/>
        <w:gridCol w:w="640"/>
        <w:gridCol w:w="863"/>
        <w:gridCol w:w="756"/>
      </w:tblGrid>
      <w:tr>
        <w:tblPrEx>
          <w:tblCellMar>
            <w:top w:w="0" w:type="dxa"/>
            <w:left w:w="108" w:type="dxa"/>
            <w:bottom w:w="0" w:type="dxa"/>
            <w:right w:w="108" w:type="dxa"/>
          </w:tblCellMar>
        </w:tblPrEx>
        <w:trPr>
          <w:trHeight w:val="611"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评价类别</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评价</w:t>
            </w:r>
          </w:p>
          <w:p>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项目</w:t>
            </w:r>
          </w:p>
        </w:tc>
        <w:tc>
          <w:tcPr>
            <w:tcW w:w="53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赋分标准</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赋分</w:t>
            </w:r>
          </w:p>
          <w:p>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总分</w:t>
            </w: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自评得分项</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自评</w:t>
            </w:r>
          </w:p>
          <w:p>
            <w:pPr>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得分</w:t>
            </w:r>
          </w:p>
        </w:tc>
      </w:tr>
      <w:tr>
        <w:tblPrEx>
          <w:tblCellMar>
            <w:top w:w="0" w:type="dxa"/>
            <w:left w:w="108" w:type="dxa"/>
            <w:bottom w:w="0" w:type="dxa"/>
            <w:right w:w="108" w:type="dxa"/>
          </w:tblCellMar>
        </w:tblPrEx>
        <w:trPr>
          <w:trHeight w:val="1349" w:hRule="atLeast"/>
          <w:jc w:val="center"/>
        </w:trPr>
        <w:tc>
          <w:tcPr>
            <w:tcW w:w="739"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楷体_GB2312" w:eastAsia="楷体_GB2312" w:cs="宋体"/>
                <w:b w:val="0"/>
                <w:color w:val="000000"/>
                <w:spacing w:val="0"/>
                <w:sz w:val="24"/>
                <w:szCs w:val="24"/>
              </w:rPr>
            </w:pPr>
            <w:r>
              <w:rPr>
                <w:rFonts w:hint="eastAsia" w:ascii="楷体_GB2312" w:eastAsia="楷体_GB2312" w:cs="宋体"/>
                <w:b w:val="0"/>
                <w:color w:val="000000"/>
                <w:spacing w:val="0"/>
                <w:sz w:val="24"/>
                <w:szCs w:val="24"/>
              </w:rPr>
              <w:t>评价项目</w:t>
            </w:r>
          </w:p>
        </w:tc>
        <w:tc>
          <w:tcPr>
            <w:tcW w:w="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专业层次</w:t>
            </w:r>
          </w:p>
        </w:tc>
        <w:tc>
          <w:tcPr>
            <w:tcW w:w="5377"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stheme="minorEastAsia"/>
                <w:b w:val="0"/>
                <w:color w:val="000000"/>
                <w:spacing w:val="-4"/>
                <w:sz w:val="18"/>
                <w:szCs w:val="18"/>
              </w:rPr>
            </w:pPr>
            <w:r>
              <w:rPr>
                <w:rFonts w:hint="eastAsia" w:asciiTheme="minorEastAsia" w:hAnsiTheme="minorEastAsia" w:eastAsiaTheme="minorEastAsia" w:cstheme="minorEastAsia"/>
                <w:bCs/>
                <w:color w:val="000000"/>
                <w:spacing w:val="-4"/>
                <w:sz w:val="18"/>
                <w:szCs w:val="18"/>
              </w:rPr>
              <w:t>本 科</w:t>
            </w:r>
            <w:r>
              <w:rPr>
                <w:rFonts w:hint="eastAsia" w:asciiTheme="minorEastAsia" w:hAnsiTheme="minorEastAsia" w:eastAsiaTheme="minorEastAsia" w:cstheme="minorEastAsia"/>
                <w:b w:val="0"/>
                <w:color w:val="000000"/>
                <w:spacing w:val="-4"/>
                <w:sz w:val="18"/>
                <w:szCs w:val="18"/>
              </w:rPr>
              <w:t>：清华大学、北京大学毕业者得30分；其他A类34所高校且一流学科者得28分；B类6所高校且一流学科者得26分；其他A类34所高校且非一流学科者得24分；非A类、B类高校且一流学科者得24分；B类6所高校且非一流学科者得22分。</w:t>
            </w:r>
          </w:p>
        </w:tc>
        <w:tc>
          <w:tcPr>
            <w:tcW w:w="6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b w:val="0"/>
                <w:color w:val="000000"/>
                <w:spacing w:val="0"/>
                <w:sz w:val="24"/>
                <w:szCs w:val="24"/>
              </w:rPr>
            </w:pPr>
            <w:r>
              <w:rPr>
                <w:rFonts w:hint="eastAsia" w:cs="宋体"/>
                <w:b w:val="0"/>
                <w:color w:val="000000"/>
                <w:spacing w:val="0"/>
                <w:sz w:val="24"/>
                <w:szCs w:val="24"/>
              </w:rPr>
              <w:t>30</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b w:val="0"/>
                <w:color w:val="FF0000"/>
                <w:spacing w:val="0"/>
                <w:sz w:val="21"/>
                <w:szCs w:val="21"/>
              </w:rPr>
            </w:pP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b w:val="0"/>
                <w:color w:val="FF0000"/>
                <w:spacing w:val="0"/>
                <w:sz w:val="21"/>
                <w:szCs w:val="21"/>
              </w:rPr>
            </w:pPr>
          </w:p>
        </w:tc>
      </w:tr>
      <w:tr>
        <w:tblPrEx>
          <w:tblCellMar>
            <w:top w:w="0" w:type="dxa"/>
            <w:left w:w="108" w:type="dxa"/>
            <w:bottom w:w="0" w:type="dxa"/>
            <w:right w:w="108" w:type="dxa"/>
          </w:tblCellMar>
        </w:tblPrEx>
        <w:trPr>
          <w:trHeight w:val="2783" w:hRule="atLeast"/>
          <w:jc w:val="center"/>
        </w:trPr>
        <w:tc>
          <w:tcPr>
            <w:tcW w:w="739" w:type="dxa"/>
            <w:vMerge w:val="continue"/>
            <w:tcBorders>
              <w:left w:val="single" w:color="auto" w:sz="4" w:space="0"/>
              <w:right w:val="single" w:color="auto" w:sz="4" w:space="0"/>
            </w:tcBorders>
            <w:vAlign w:val="center"/>
          </w:tcPr>
          <w:p>
            <w:pPr>
              <w:widowControl/>
              <w:spacing w:line="240" w:lineRule="exact"/>
              <w:jc w:val="center"/>
              <w:rPr>
                <w:rFonts w:ascii="楷体_GB2312" w:eastAsia="楷体_GB2312" w:cs="宋体"/>
                <w:b w:val="0"/>
                <w:color w:val="000000"/>
                <w:spacing w:val="0"/>
                <w:sz w:val="24"/>
                <w:szCs w:val="24"/>
              </w:rPr>
            </w:pPr>
          </w:p>
        </w:tc>
        <w:tc>
          <w:tcPr>
            <w:tcW w:w="71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楷体" w:hAnsi="楷体" w:eastAsia="楷体" w:cs="楷体"/>
                <w:b w:val="0"/>
                <w:color w:val="000000"/>
                <w:spacing w:val="0"/>
                <w:sz w:val="24"/>
                <w:szCs w:val="24"/>
              </w:rPr>
            </w:pPr>
          </w:p>
        </w:tc>
        <w:tc>
          <w:tcPr>
            <w:tcW w:w="5377"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stheme="minorEastAsia"/>
                <w:b w:val="0"/>
                <w:color w:val="000000"/>
                <w:spacing w:val="-4"/>
                <w:sz w:val="18"/>
                <w:szCs w:val="18"/>
              </w:rPr>
            </w:pPr>
            <w:r>
              <w:rPr>
                <w:rFonts w:hint="eastAsia" w:asciiTheme="minorEastAsia" w:hAnsiTheme="minorEastAsia" w:eastAsiaTheme="minorEastAsia" w:cstheme="minorEastAsia"/>
                <w:bCs/>
                <w:color w:val="000000"/>
                <w:spacing w:val="-4"/>
                <w:sz w:val="18"/>
                <w:szCs w:val="18"/>
              </w:rPr>
              <w:t>研究生</w:t>
            </w:r>
            <w:r>
              <w:rPr>
                <w:rFonts w:hint="eastAsia" w:asciiTheme="minorEastAsia" w:hAnsiTheme="minorEastAsia" w:eastAsiaTheme="minorEastAsia" w:cstheme="minorEastAsia"/>
                <w:b w:val="0"/>
                <w:color w:val="000000"/>
                <w:spacing w:val="-4"/>
                <w:sz w:val="18"/>
                <w:szCs w:val="18"/>
              </w:rPr>
              <w:t>：</w:t>
            </w:r>
          </w:p>
          <w:p>
            <w:pPr>
              <w:widowControl/>
              <w:rPr>
                <w:rFonts w:asciiTheme="minorEastAsia" w:hAnsiTheme="minorEastAsia" w:eastAsiaTheme="minorEastAsia" w:cstheme="minorEastAsia"/>
                <w:b w:val="0"/>
                <w:color w:val="000000"/>
                <w:spacing w:val="-4"/>
                <w:sz w:val="18"/>
                <w:szCs w:val="18"/>
              </w:rPr>
            </w:pPr>
            <w:r>
              <w:rPr>
                <w:rFonts w:hint="eastAsia" w:asciiTheme="minorEastAsia" w:hAnsiTheme="minorEastAsia" w:eastAsiaTheme="minorEastAsia" w:cstheme="minorEastAsia"/>
                <w:color w:val="000000"/>
                <w:spacing w:val="-4"/>
                <w:sz w:val="18"/>
                <w:szCs w:val="18"/>
              </w:rPr>
              <w:t>国 内</w:t>
            </w:r>
            <w:r>
              <w:rPr>
                <w:rFonts w:hint="eastAsia" w:asciiTheme="minorEastAsia" w:hAnsiTheme="minorEastAsia" w:eastAsiaTheme="minorEastAsia" w:cstheme="minorEastAsia"/>
                <w:b w:val="0"/>
                <w:color w:val="000000"/>
                <w:spacing w:val="-4"/>
                <w:sz w:val="18"/>
                <w:szCs w:val="18"/>
              </w:rPr>
              <w:t>：清华大学、北京大学毕业者得30分；其他A类34所高校且一流学科者得28分；B类6所高校且一流学科者得26分；其他A类34所高校且非一流学科者得24分；非A类、B类高校且一流学科者得24分；B类6所高校且非一流学科者得22分。非一流大学且非一流学科者得16分。</w:t>
            </w:r>
          </w:p>
          <w:p>
            <w:pPr>
              <w:widowControl/>
              <w:rPr>
                <w:rFonts w:asciiTheme="minorEastAsia" w:hAnsiTheme="minorEastAsia" w:eastAsiaTheme="minorEastAsia" w:cstheme="minorEastAsia"/>
                <w:b w:val="0"/>
                <w:color w:val="000000"/>
                <w:spacing w:val="-4"/>
                <w:sz w:val="18"/>
                <w:szCs w:val="18"/>
              </w:rPr>
            </w:pPr>
            <w:r>
              <w:rPr>
                <w:rFonts w:hint="eastAsia" w:asciiTheme="minorEastAsia" w:hAnsiTheme="minorEastAsia" w:eastAsiaTheme="minorEastAsia" w:cstheme="minorEastAsia"/>
                <w:color w:val="000000"/>
                <w:spacing w:val="-4"/>
                <w:sz w:val="18"/>
                <w:szCs w:val="18"/>
              </w:rPr>
              <w:t>海 外</w:t>
            </w:r>
            <w:r>
              <w:rPr>
                <w:rFonts w:hint="eastAsia" w:asciiTheme="minorEastAsia" w:hAnsiTheme="minorEastAsia" w:eastAsiaTheme="minorEastAsia" w:cstheme="minorEastAsia"/>
                <w:b w:val="0"/>
                <w:color w:val="000000"/>
                <w:spacing w:val="-4"/>
                <w:sz w:val="18"/>
                <w:szCs w:val="18"/>
              </w:rPr>
              <w:t>：</w:t>
            </w:r>
          </w:p>
          <w:p>
            <w:pPr>
              <w:widowControl/>
              <w:rPr>
                <w:rFonts w:asciiTheme="minorEastAsia" w:hAnsiTheme="minorEastAsia" w:eastAsiaTheme="minorEastAsia" w:cstheme="minorEastAsia"/>
                <w:b w:val="0"/>
                <w:color w:val="000000"/>
                <w:spacing w:val="-4"/>
                <w:sz w:val="18"/>
                <w:szCs w:val="18"/>
              </w:rPr>
            </w:pPr>
            <w:r>
              <w:rPr>
                <w:rFonts w:hint="eastAsia" w:asciiTheme="minorEastAsia" w:hAnsiTheme="minorEastAsia" w:eastAsiaTheme="minorEastAsia" w:cstheme="minorEastAsia"/>
                <w:b w:val="0"/>
                <w:color w:val="000000"/>
                <w:spacing w:val="-4"/>
                <w:sz w:val="18"/>
                <w:szCs w:val="18"/>
              </w:rPr>
              <w:t>世界综合排名高校1-10名的，得30分；世界综合排名高校11-50名的，得28分；世界综合排名高校51-100名的得26分；世界综合排名高校101-200名的，得24分；世界综合排名高校201-500名的，得22分；世界综合排名高校501-1000名的，得20分；世界综合排名非前1000名高校的，得16分。</w:t>
            </w:r>
          </w:p>
        </w:tc>
        <w:tc>
          <w:tcPr>
            <w:tcW w:w="6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b w:val="0"/>
                <w:color w:val="000000"/>
                <w:spacing w:val="0"/>
                <w:sz w:val="24"/>
                <w:szCs w:val="24"/>
              </w:rPr>
            </w:pPr>
            <w:r>
              <w:rPr>
                <w:rFonts w:hint="eastAsia" w:cs="宋体"/>
                <w:b w:val="0"/>
                <w:color w:val="000000"/>
                <w:spacing w:val="0"/>
                <w:sz w:val="24"/>
                <w:szCs w:val="24"/>
              </w:rPr>
              <w:t>30</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b w:val="0"/>
                <w:color w:val="FF0000"/>
                <w:spacing w:val="0"/>
                <w:sz w:val="21"/>
                <w:szCs w:val="21"/>
              </w:rPr>
            </w:pP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b w:val="0"/>
                <w:color w:val="FF0000"/>
                <w:spacing w:val="0"/>
                <w:sz w:val="21"/>
                <w:szCs w:val="21"/>
              </w:rPr>
            </w:pPr>
          </w:p>
        </w:tc>
      </w:tr>
      <w:tr>
        <w:tblPrEx>
          <w:tblCellMar>
            <w:top w:w="0" w:type="dxa"/>
            <w:left w:w="108" w:type="dxa"/>
            <w:bottom w:w="0" w:type="dxa"/>
            <w:right w:w="108" w:type="dxa"/>
          </w:tblCellMar>
        </w:tblPrEx>
        <w:trPr>
          <w:trHeight w:val="1590" w:hRule="atLeast"/>
          <w:jc w:val="center"/>
        </w:trPr>
        <w:tc>
          <w:tcPr>
            <w:tcW w:w="739" w:type="dxa"/>
            <w:vMerge w:val="continue"/>
            <w:tcBorders>
              <w:left w:val="single" w:color="auto" w:sz="4" w:space="0"/>
              <w:right w:val="single" w:color="auto" w:sz="4" w:space="0"/>
            </w:tcBorders>
            <w:vAlign w:val="center"/>
          </w:tcPr>
          <w:p>
            <w:pPr>
              <w:widowControl/>
              <w:spacing w:line="240" w:lineRule="exact"/>
              <w:jc w:val="center"/>
              <w:rPr>
                <w:rFonts w:ascii="楷体_GB2312" w:eastAsia="楷体_GB2312" w:cs="宋体"/>
                <w:b w:val="0"/>
                <w:color w:val="000000"/>
                <w:spacing w:val="0"/>
                <w:sz w:val="24"/>
                <w:szCs w:val="24"/>
              </w:rPr>
            </w:pPr>
          </w:p>
        </w:tc>
        <w:tc>
          <w:tcPr>
            <w:tcW w:w="71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学业成绩</w:t>
            </w:r>
          </w:p>
        </w:tc>
        <w:tc>
          <w:tcPr>
            <w:tcW w:w="537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val="0"/>
                <w:spacing w:val="-4"/>
                <w:sz w:val="18"/>
                <w:szCs w:val="18"/>
              </w:rPr>
            </w:pPr>
            <w:r>
              <w:rPr>
                <w:rFonts w:hint="eastAsia" w:asciiTheme="minorEastAsia" w:hAnsiTheme="minorEastAsia" w:eastAsiaTheme="minorEastAsia" w:cstheme="minorEastAsia"/>
                <w:b w:val="0"/>
                <w:spacing w:val="-4"/>
                <w:sz w:val="18"/>
                <w:szCs w:val="18"/>
              </w:rPr>
              <w:t>本科或研究生成绩：以GPA为评价标准，基础分为1分，最高10分。按以下标准赋分：GPA 3.7-4得10分，GPA 3.4-3.6得9分，GPA 3.1-3.3得8分，GPA 2.8-3得7分，GPA 2.5-2.7得6分，GPA 2.2-2.4得5分，GPA 1.9-2.1得4分，GPA 1.6-1.8得3分，GPA 1.3-1.5得2分，GPA1-1.2得1分，</w:t>
            </w:r>
            <w:r>
              <w:rPr>
                <w:rFonts w:hint="eastAsia" w:asciiTheme="minorEastAsia" w:hAnsiTheme="minorEastAsia" w:eastAsiaTheme="minorEastAsia" w:cstheme="minorEastAsia"/>
                <w:bCs/>
                <w:spacing w:val="-4"/>
                <w:sz w:val="18"/>
                <w:szCs w:val="18"/>
              </w:rPr>
              <w:t>取小数点后一位，不四舍五入。以最高成绩计算</w:t>
            </w:r>
          </w:p>
        </w:tc>
        <w:tc>
          <w:tcPr>
            <w:tcW w:w="640"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b w:val="0"/>
                <w:spacing w:val="0"/>
                <w:sz w:val="24"/>
                <w:szCs w:val="24"/>
              </w:rPr>
            </w:pPr>
            <w:r>
              <w:rPr>
                <w:rFonts w:hint="eastAsia" w:cs="宋体"/>
                <w:b w:val="0"/>
                <w:spacing w:val="0"/>
                <w:sz w:val="24"/>
                <w:szCs w:val="24"/>
              </w:rPr>
              <w:t>10</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b w:val="0"/>
                <w:color w:val="FF0000"/>
                <w:spacing w:val="0"/>
                <w:sz w:val="21"/>
                <w:szCs w:val="21"/>
              </w:rPr>
            </w:pP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cs="宋体"/>
                <w:b w:val="0"/>
                <w:color w:val="FF0000"/>
                <w:spacing w:val="0"/>
                <w:sz w:val="21"/>
                <w:szCs w:val="21"/>
              </w:rPr>
            </w:pPr>
          </w:p>
        </w:tc>
      </w:tr>
      <w:tr>
        <w:tblPrEx>
          <w:tblCellMar>
            <w:top w:w="0" w:type="dxa"/>
            <w:left w:w="108" w:type="dxa"/>
            <w:bottom w:w="0" w:type="dxa"/>
            <w:right w:w="108" w:type="dxa"/>
          </w:tblCellMar>
        </w:tblPrEx>
        <w:trPr>
          <w:trHeight w:val="1642" w:hRule="atLeast"/>
          <w:jc w:val="center"/>
        </w:trPr>
        <w:tc>
          <w:tcPr>
            <w:tcW w:w="739" w:type="dxa"/>
            <w:vMerge w:val="continue"/>
            <w:tcBorders>
              <w:left w:val="single" w:color="auto" w:sz="4" w:space="0"/>
              <w:right w:val="single" w:color="auto" w:sz="4" w:space="0"/>
            </w:tcBorders>
            <w:vAlign w:val="center"/>
          </w:tcPr>
          <w:p>
            <w:pPr>
              <w:widowControl/>
              <w:spacing w:line="240" w:lineRule="exact"/>
              <w:jc w:val="center"/>
              <w:rPr>
                <w:rFonts w:ascii="楷体_GB2312" w:eastAsia="楷体_GB2312" w:cs="宋体"/>
                <w:b w:val="0"/>
                <w:color w:val="000000"/>
                <w:spacing w:val="0"/>
                <w:sz w:val="24"/>
                <w:szCs w:val="24"/>
              </w:rPr>
            </w:pP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科研成果</w:t>
            </w:r>
          </w:p>
        </w:tc>
        <w:tc>
          <w:tcPr>
            <w:tcW w:w="5377"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stheme="minorEastAsia"/>
                <w:b w:val="0"/>
                <w:spacing w:val="-4"/>
                <w:sz w:val="18"/>
                <w:szCs w:val="18"/>
              </w:rPr>
            </w:pPr>
            <w:r>
              <w:rPr>
                <w:rFonts w:hint="eastAsia" w:asciiTheme="minorEastAsia" w:hAnsiTheme="minorEastAsia" w:eastAsiaTheme="minorEastAsia" w:cstheme="minorEastAsia"/>
                <w:b w:val="0"/>
                <w:spacing w:val="-4"/>
                <w:sz w:val="16"/>
                <w:szCs w:val="16"/>
              </w:rPr>
              <w:t>作为第一作者发表论文文章且被SCI收录者，每篇得7分；作为除导师以外第一作者发表论文文章且被SCI收录者，每篇得4分；作为除导师以外第二作者发表论文文章且被SCI收录者，每篇得2分；作为第一作者发表论文文章且被EI收录者，每篇得1分。同一篇文章按最高分计算。作为第一发明人发表发明专利，每项得5分。各项累加不超过10分。</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b w:val="0"/>
                <w:spacing w:val="0"/>
                <w:sz w:val="24"/>
                <w:szCs w:val="24"/>
              </w:rPr>
            </w:pPr>
            <w:r>
              <w:rPr>
                <w:rFonts w:hint="eastAsia" w:cs="宋体"/>
                <w:b w:val="0"/>
                <w:spacing w:val="0"/>
                <w:sz w:val="24"/>
                <w:szCs w:val="24"/>
              </w:rPr>
              <w:t>10</w:t>
            </w: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b w:val="0"/>
                <w:color w:val="FF0000"/>
                <w:spacing w:val="0"/>
                <w:sz w:val="21"/>
                <w:szCs w:val="21"/>
              </w:rPr>
            </w:pP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b w:val="0"/>
                <w:color w:val="FF0000"/>
                <w:spacing w:val="0"/>
                <w:sz w:val="21"/>
                <w:szCs w:val="21"/>
              </w:rPr>
            </w:pPr>
          </w:p>
        </w:tc>
      </w:tr>
      <w:tr>
        <w:tblPrEx>
          <w:tblCellMar>
            <w:top w:w="0" w:type="dxa"/>
            <w:left w:w="108" w:type="dxa"/>
            <w:bottom w:w="0" w:type="dxa"/>
            <w:right w:w="108" w:type="dxa"/>
          </w:tblCellMar>
        </w:tblPrEx>
        <w:trPr>
          <w:trHeight w:val="1082" w:hRule="atLeast"/>
          <w:jc w:val="center"/>
        </w:trPr>
        <w:tc>
          <w:tcPr>
            <w:tcW w:w="739" w:type="dxa"/>
            <w:vMerge w:val="continue"/>
            <w:tcBorders>
              <w:left w:val="single" w:color="auto" w:sz="4" w:space="0"/>
              <w:right w:val="single" w:color="auto" w:sz="4" w:space="0"/>
            </w:tcBorders>
            <w:vAlign w:val="center"/>
          </w:tcPr>
          <w:p>
            <w:pPr>
              <w:widowControl/>
              <w:spacing w:line="240" w:lineRule="exact"/>
              <w:jc w:val="center"/>
              <w:rPr>
                <w:rFonts w:ascii="楷体_GB2312" w:eastAsia="楷体_GB2312" w:cs="宋体"/>
                <w:b w:val="0"/>
                <w:color w:val="000000"/>
                <w:spacing w:val="0"/>
                <w:sz w:val="24"/>
                <w:szCs w:val="24"/>
              </w:rPr>
            </w:pPr>
          </w:p>
        </w:tc>
        <w:tc>
          <w:tcPr>
            <w:tcW w:w="7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职业资格</w:t>
            </w:r>
          </w:p>
        </w:tc>
        <w:tc>
          <w:tcPr>
            <w:tcW w:w="5377" w:type="dxa"/>
            <w:tcBorders>
              <w:top w:val="nil"/>
              <w:left w:val="nil"/>
              <w:bottom w:val="single" w:color="auto" w:sz="4" w:space="0"/>
              <w:right w:val="single" w:color="auto" w:sz="4" w:space="0"/>
            </w:tcBorders>
            <w:shd w:val="clear" w:color="auto" w:fill="auto"/>
            <w:vAlign w:val="center"/>
          </w:tcPr>
          <w:p>
            <w:pPr>
              <w:widowControl/>
              <w:spacing w:line="120" w:lineRule="auto"/>
              <w:rPr>
                <w:rFonts w:asciiTheme="minorEastAsia" w:hAnsiTheme="minorEastAsia" w:eastAsiaTheme="minorEastAsia" w:cstheme="minorEastAsia"/>
                <w:b w:val="0"/>
                <w:color w:val="000000"/>
                <w:spacing w:val="-4"/>
                <w:sz w:val="18"/>
                <w:szCs w:val="18"/>
              </w:rPr>
            </w:pPr>
            <w:r>
              <w:rPr>
                <w:rFonts w:hint="eastAsia" w:asciiTheme="minorEastAsia" w:hAnsiTheme="minorEastAsia" w:eastAsiaTheme="minorEastAsia" w:cstheme="minorEastAsia"/>
                <w:b w:val="0"/>
                <w:color w:val="000000"/>
                <w:spacing w:val="0"/>
                <w:sz w:val="18"/>
                <w:szCs w:val="18"/>
              </w:rPr>
              <w:t>取得副高级及以上水平评价类专业技术人员职业资格</w:t>
            </w:r>
            <w:r>
              <w:rPr>
                <w:rFonts w:hint="eastAsia" w:asciiTheme="minorEastAsia" w:hAnsiTheme="minorEastAsia" w:eastAsiaTheme="minorEastAsia" w:cstheme="minorEastAsia"/>
                <w:b w:val="0"/>
                <w:color w:val="000000"/>
                <w:spacing w:val="-4"/>
                <w:sz w:val="18"/>
                <w:szCs w:val="18"/>
              </w:rPr>
              <w:t>的得7分，</w:t>
            </w:r>
            <w:r>
              <w:rPr>
                <w:rFonts w:hint="eastAsia" w:asciiTheme="minorEastAsia" w:hAnsiTheme="minorEastAsia" w:eastAsiaTheme="minorEastAsia" w:cstheme="minorEastAsia"/>
                <w:b w:val="0"/>
                <w:color w:val="000000"/>
                <w:spacing w:val="0"/>
                <w:sz w:val="18"/>
                <w:szCs w:val="18"/>
              </w:rPr>
              <w:t>取得可对应至中级职称的专业技术人员职业资格得5分，在可按照级别划分的准入类专业技术人员职业资格中取得最高级别职业资格的得5分，</w:t>
            </w:r>
            <w:r>
              <w:rPr>
                <w:rFonts w:hint="eastAsia" w:asciiTheme="minorEastAsia" w:hAnsiTheme="minorEastAsia" w:eastAsiaTheme="minorEastAsia" w:cstheme="minorEastAsia"/>
                <w:b w:val="0"/>
                <w:color w:val="000000"/>
                <w:spacing w:val="-4"/>
                <w:sz w:val="18"/>
                <w:szCs w:val="18"/>
              </w:rPr>
              <w:t>各项累加不超过10分。</w:t>
            </w:r>
          </w:p>
        </w:tc>
        <w:tc>
          <w:tcPr>
            <w:tcW w:w="6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b w:val="0"/>
                <w:color w:val="000000"/>
                <w:spacing w:val="0"/>
                <w:sz w:val="24"/>
                <w:szCs w:val="24"/>
              </w:rPr>
            </w:pPr>
            <w:r>
              <w:rPr>
                <w:rFonts w:hint="eastAsia" w:cs="宋体"/>
                <w:b w:val="0"/>
                <w:color w:val="000000"/>
                <w:spacing w:val="0"/>
                <w:sz w:val="24"/>
                <w:szCs w:val="24"/>
              </w:rPr>
              <w:t>10</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b w:val="0"/>
                <w:color w:val="FF0000"/>
                <w:spacing w:val="0"/>
                <w:sz w:val="21"/>
                <w:szCs w:val="21"/>
              </w:rPr>
            </w:pP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b w:val="0"/>
                <w:color w:val="FF0000"/>
                <w:spacing w:val="0"/>
                <w:sz w:val="21"/>
                <w:szCs w:val="21"/>
              </w:rPr>
            </w:pPr>
          </w:p>
        </w:tc>
      </w:tr>
      <w:tr>
        <w:tblPrEx>
          <w:tblCellMar>
            <w:top w:w="0" w:type="dxa"/>
            <w:left w:w="108" w:type="dxa"/>
            <w:bottom w:w="0" w:type="dxa"/>
            <w:right w:w="108" w:type="dxa"/>
          </w:tblCellMar>
        </w:tblPrEx>
        <w:trPr>
          <w:trHeight w:val="703" w:hRule="atLeast"/>
          <w:jc w:val="center"/>
        </w:trPr>
        <w:tc>
          <w:tcPr>
            <w:tcW w:w="739" w:type="dxa"/>
            <w:vMerge w:val="continue"/>
            <w:tcBorders>
              <w:left w:val="single" w:color="auto" w:sz="4" w:space="0"/>
              <w:right w:val="single" w:color="auto" w:sz="4" w:space="0"/>
            </w:tcBorders>
            <w:vAlign w:val="center"/>
          </w:tcPr>
          <w:p>
            <w:pPr>
              <w:widowControl/>
              <w:spacing w:line="240" w:lineRule="exact"/>
              <w:jc w:val="center"/>
              <w:rPr>
                <w:rFonts w:ascii="楷体_GB2312" w:eastAsia="楷体_GB2312" w:cs="宋体"/>
                <w:b w:val="0"/>
                <w:color w:val="000000"/>
                <w:spacing w:val="0"/>
                <w:sz w:val="24"/>
                <w:szCs w:val="24"/>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2"/>
                <w:szCs w:val="22"/>
              </w:rPr>
              <w:t>专业技术职称</w:t>
            </w:r>
          </w:p>
        </w:tc>
        <w:tc>
          <w:tcPr>
            <w:tcW w:w="53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right" w:pos="4869"/>
              </w:tabs>
              <w:jc w:val="left"/>
              <w:rPr>
                <w:rFonts w:asciiTheme="minorEastAsia" w:hAnsiTheme="minorEastAsia" w:eastAsiaTheme="minorEastAsia" w:cstheme="minorEastAsia"/>
                <w:b w:val="0"/>
                <w:color w:val="000000"/>
                <w:spacing w:val="0"/>
                <w:sz w:val="18"/>
                <w:szCs w:val="18"/>
              </w:rPr>
            </w:pPr>
            <w:r>
              <w:rPr>
                <w:rFonts w:hint="eastAsia" w:asciiTheme="minorEastAsia" w:hAnsiTheme="minorEastAsia" w:eastAsiaTheme="minorEastAsia" w:cstheme="minorEastAsia"/>
                <w:b w:val="0"/>
                <w:color w:val="000000"/>
                <w:spacing w:val="0"/>
                <w:sz w:val="18"/>
                <w:szCs w:val="18"/>
              </w:rPr>
              <w:t>正高级职称得5分，副高级得3分，中级得2分，初级得1分。按所取得最高级职称计算，不累加计算。</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val="0"/>
                <w:color w:val="000000"/>
                <w:spacing w:val="0"/>
                <w:sz w:val="24"/>
                <w:szCs w:val="24"/>
              </w:rPr>
            </w:pPr>
            <w:r>
              <w:rPr>
                <w:rFonts w:hint="eastAsia" w:cs="宋体"/>
                <w:b w:val="0"/>
                <w:color w:val="000000"/>
                <w:spacing w:val="0"/>
                <w:sz w:val="24"/>
                <w:szCs w:val="24"/>
              </w:rPr>
              <w:t>5　</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b w:val="0"/>
                <w:color w:val="FF0000"/>
                <w:spacing w:val="0"/>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b w:val="0"/>
                <w:color w:val="FF0000"/>
                <w:spacing w:val="0"/>
                <w:sz w:val="21"/>
                <w:szCs w:val="21"/>
              </w:rPr>
            </w:pPr>
          </w:p>
        </w:tc>
      </w:tr>
      <w:tr>
        <w:tblPrEx>
          <w:tblCellMar>
            <w:top w:w="0" w:type="dxa"/>
            <w:left w:w="108" w:type="dxa"/>
            <w:bottom w:w="0" w:type="dxa"/>
            <w:right w:w="108" w:type="dxa"/>
          </w:tblCellMar>
        </w:tblPrEx>
        <w:trPr>
          <w:trHeight w:val="745" w:hRule="atLeast"/>
          <w:jc w:val="center"/>
        </w:trPr>
        <w:tc>
          <w:tcPr>
            <w:tcW w:w="739" w:type="dxa"/>
            <w:tcBorders>
              <w:left w:val="single" w:color="auto" w:sz="4" w:space="0"/>
              <w:bottom w:val="single" w:color="auto" w:sz="4" w:space="0"/>
              <w:right w:val="single" w:color="auto" w:sz="4" w:space="0"/>
            </w:tcBorders>
            <w:vAlign w:val="center"/>
          </w:tcPr>
          <w:p>
            <w:pPr>
              <w:widowControl/>
              <w:spacing w:line="240" w:lineRule="exact"/>
              <w:jc w:val="center"/>
              <w:rPr>
                <w:rFonts w:ascii="楷体_GB2312" w:eastAsia="楷体_GB2312" w:cs="宋体"/>
                <w:b w:val="0"/>
                <w:color w:val="000000"/>
                <w:spacing w:val="0"/>
                <w:sz w:val="24"/>
                <w:szCs w:val="24"/>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获得奖项</w:t>
            </w:r>
          </w:p>
        </w:tc>
        <w:tc>
          <w:tcPr>
            <w:tcW w:w="53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20" w:lineRule="auto"/>
              <w:rPr>
                <w:rFonts w:asciiTheme="minorEastAsia" w:hAnsiTheme="minorEastAsia" w:eastAsiaTheme="minorEastAsia" w:cstheme="minorEastAsia"/>
                <w:b w:val="0"/>
                <w:color w:val="000000"/>
                <w:spacing w:val="-4"/>
                <w:sz w:val="18"/>
                <w:szCs w:val="18"/>
              </w:rPr>
            </w:pPr>
            <w:r>
              <w:rPr>
                <w:rFonts w:hint="eastAsia" w:asciiTheme="minorEastAsia" w:hAnsiTheme="minorEastAsia" w:eastAsiaTheme="minorEastAsia" w:cstheme="minorEastAsia"/>
                <w:b w:val="0"/>
                <w:color w:val="000000"/>
                <w:spacing w:val="-4"/>
                <w:sz w:val="18"/>
                <w:szCs w:val="18"/>
              </w:rPr>
              <w:t>获得国家级荣誉者每项得5分；获得国家部委和省级荣誉者每项得3分；获得市级荣誉者每项得1分。各项累加不超过5分。</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val="0"/>
                <w:color w:val="000000"/>
                <w:spacing w:val="0"/>
                <w:sz w:val="24"/>
                <w:szCs w:val="24"/>
              </w:rPr>
            </w:pPr>
            <w:r>
              <w:rPr>
                <w:rFonts w:hint="eastAsia" w:cs="宋体"/>
                <w:b w:val="0"/>
                <w:color w:val="000000"/>
                <w:spacing w:val="0"/>
                <w:sz w:val="24"/>
                <w:szCs w:val="24"/>
              </w:rPr>
              <w:t>5</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b w:val="0"/>
                <w:color w:val="FF0000"/>
                <w:spacing w:val="0"/>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b w:val="0"/>
                <w:color w:val="FF0000"/>
                <w:spacing w:val="0"/>
                <w:sz w:val="21"/>
                <w:szCs w:val="21"/>
              </w:rPr>
            </w:pPr>
          </w:p>
        </w:tc>
      </w:tr>
    </w:tbl>
    <w:p>
      <w:pPr>
        <w:rPr>
          <w:rFonts w:ascii="仿宋_GB2312" w:eastAsia="仿宋_GB2312"/>
          <w:b w:val="0"/>
          <w:sz w:val="21"/>
          <w:szCs w:val="21"/>
        </w:rPr>
      </w:pPr>
    </w:p>
    <w:p>
      <w:pPr>
        <w:rPr>
          <w:rFonts w:ascii="仿宋_GB2312" w:eastAsia="仿宋_GB2312"/>
          <w:b w:val="0"/>
          <w:sz w:val="21"/>
          <w:szCs w:val="21"/>
        </w:rPr>
      </w:pPr>
      <w:r>
        <w:rPr>
          <w:rFonts w:hint="eastAsia" w:ascii="仿宋_GB2312" w:eastAsia="仿宋_GB2312"/>
          <w:b w:val="0"/>
          <w:sz w:val="21"/>
          <w:szCs w:val="21"/>
        </w:rPr>
        <w:t>特殊人才: 1.作为第一作者文章被</w:t>
      </w:r>
      <w:r>
        <w:rPr>
          <w:rFonts w:ascii="仿宋_GB2312" w:eastAsia="仿宋_GB2312"/>
          <w:b w:val="0"/>
          <w:sz w:val="21"/>
          <w:szCs w:val="21"/>
        </w:rPr>
        <w:t>SCI收录</w:t>
      </w:r>
      <w:r>
        <w:rPr>
          <w:rFonts w:hint="eastAsia" w:ascii="仿宋_GB2312" w:eastAsia="仿宋_GB2312"/>
          <w:b w:val="0"/>
          <w:sz w:val="21"/>
          <w:szCs w:val="21"/>
        </w:rPr>
        <w:t>超过5篇（含）者，人才评价按满分计算（100分）。</w:t>
      </w:r>
    </w:p>
    <w:p>
      <w:pPr>
        <w:ind w:firstLine="950" w:firstLineChars="500"/>
        <w:rPr>
          <w:rFonts w:ascii="仿宋_GB2312" w:eastAsia="仿宋_GB2312"/>
          <w:b w:val="0"/>
          <w:sz w:val="21"/>
          <w:szCs w:val="21"/>
        </w:rPr>
      </w:pPr>
      <w:r>
        <w:rPr>
          <w:rFonts w:hint="eastAsia" w:ascii="仿宋_GB2312" w:eastAsia="仿宋_GB2312"/>
          <w:b w:val="0"/>
          <w:sz w:val="21"/>
          <w:szCs w:val="21"/>
        </w:rPr>
        <w:t>2.获得国家级荣誉3项（含）以上者，人才评价按满分计算（100分）。</w:t>
      </w:r>
    </w:p>
    <w:p>
      <w:pPr>
        <w:rPr>
          <w:rFonts w:ascii="仿宋_GB2312" w:eastAsia="仿宋_GB2312"/>
          <w:b w:val="0"/>
          <w:sz w:val="21"/>
          <w:szCs w:val="21"/>
        </w:rPr>
      </w:pPr>
      <w:r>
        <w:rPr>
          <w:rFonts w:hint="eastAsia" w:ascii="仿宋_GB2312" w:eastAsia="仿宋_GB2312"/>
          <w:b w:val="0"/>
          <w:sz w:val="21"/>
          <w:szCs w:val="21"/>
        </w:rPr>
        <w:t xml:space="preserve">           3.符合条件的博士研究生报名直接进入体检</w:t>
      </w:r>
      <w:r>
        <w:rPr>
          <w:rFonts w:hint="eastAsia" w:ascii="仿宋_GB2312" w:eastAsia="仿宋_GB2312"/>
          <w:b w:val="0"/>
          <w:sz w:val="21"/>
          <w:szCs w:val="21"/>
          <w:lang w:eastAsia="zh-CN"/>
        </w:rPr>
        <w:t>、</w:t>
      </w:r>
      <w:bookmarkStart w:id="0" w:name="_GoBack"/>
      <w:bookmarkEnd w:id="0"/>
      <w:r>
        <w:rPr>
          <w:rFonts w:hint="eastAsia" w:ascii="仿宋_GB2312" w:eastAsia="仿宋_GB2312"/>
          <w:b w:val="0"/>
          <w:sz w:val="21"/>
          <w:szCs w:val="21"/>
        </w:rPr>
        <w:t>考察环节。</w:t>
      </w:r>
    </w:p>
    <w:sectPr>
      <w:pgSz w:w="11906" w:h="16838"/>
      <w:pgMar w:top="1304" w:right="1191"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4Y2YyYzFkMWE4YTQ0OTZlMmZhYmQ1Y2I2M2UzODUifQ=="/>
  </w:docVars>
  <w:rsids>
    <w:rsidRoot w:val="00F77485"/>
    <w:rsid w:val="0003732F"/>
    <w:rsid w:val="0004362B"/>
    <w:rsid w:val="000640C2"/>
    <w:rsid w:val="00076768"/>
    <w:rsid w:val="00080CC6"/>
    <w:rsid w:val="000D0124"/>
    <w:rsid w:val="000D32C2"/>
    <w:rsid w:val="000D7458"/>
    <w:rsid w:val="000E7070"/>
    <w:rsid w:val="000F5344"/>
    <w:rsid w:val="000F566E"/>
    <w:rsid w:val="00122757"/>
    <w:rsid w:val="00122CB7"/>
    <w:rsid w:val="00125857"/>
    <w:rsid w:val="00136F62"/>
    <w:rsid w:val="00144453"/>
    <w:rsid w:val="001613A7"/>
    <w:rsid w:val="00166331"/>
    <w:rsid w:val="00195120"/>
    <w:rsid w:val="001962E4"/>
    <w:rsid w:val="001E5A43"/>
    <w:rsid w:val="001E79CF"/>
    <w:rsid w:val="00200B4E"/>
    <w:rsid w:val="00226D70"/>
    <w:rsid w:val="002523A9"/>
    <w:rsid w:val="00297D1F"/>
    <w:rsid w:val="002B5AE0"/>
    <w:rsid w:val="002C4017"/>
    <w:rsid w:val="002D152C"/>
    <w:rsid w:val="002E6F25"/>
    <w:rsid w:val="002F324D"/>
    <w:rsid w:val="00331DA4"/>
    <w:rsid w:val="00351A2F"/>
    <w:rsid w:val="003A6082"/>
    <w:rsid w:val="003C209C"/>
    <w:rsid w:val="003D4706"/>
    <w:rsid w:val="00430398"/>
    <w:rsid w:val="0043530B"/>
    <w:rsid w:val="00474CF1"/>
    <w:rsid w:val="00480F5D"/>
    <w:rsid w:val="00484C50"/>
    <w:rsid w:val="00494A50"/>
    <w:rsid w:val="004E6CF6"/>
    <w:rsid w:val="004F7969"/>
    <w:rsid w:val="00532536"/>
    <w:rsid w:val="0054404B"/>
    <w:rsid w:val="005C1E7D"/>
    <w:rsid w:val="005D4667"/>
    <w:rsid w:val="005D7BF1"/>
    <w:rsid w:val="00600B23"/>
    <w:rsid w:val="00622C39"/>
    <w:rsid w:val="006410E4"/>
    <w:rsid w:val="00677257"/>
    <w:rsid w:val="006A3CEA"/>
    <w:rsid w:val="006A5CF6"/>
    <w:rsid w:val="006D4D7C"/>
    <w:rsid w:val="006E123D"/>
    <w:rsid w:val="006E6672"/>
    <w:rsid w:val="007009A8"/>
    <w:rsid w:val="00724D8E"/>
    <w:rsid w:val="00757F72"/>
    <w:rsid w:val="00794866"/>
    <w:rsid w:val="007B02F7"/>
    <w:rsid w:val="007B407C"/>
    <w:rsid w:val="007C263A"/>
    <w:rsid w:val="007D7311"/>
    <w:rsid w:val="007E3CDE"/>
    <w:rsid w:val="00804577"/>
    <w:rsid w:val="00824AD6"/>
    <w:rsid w:val="008407DE"/>
    <w:rsid w:val="008433FC"/>
    <w:rsid w:val="00843697"/>
    <w:rsid w:val="008540CB"/>
    <w:rsid w:val="00872F1C"/>
    <w:rsid w:val="008905D9"/>
    <w:rsid w:val="008C3862"/>
    <w:rsid w:val="008E4392"/>
    <w:rsid w:val="008F3B80"/>
    <w:rsid w:val="00943BF5"/>
    <w:rsid w:val="00955FBE"/>
    <w:rsid w:val="00972EA2"/>
    <w:rsid w:val="00A0240D"/>
    <w:rsid w:val="00A60A7F"/>
    <w:rsid w:val="00A67793"/>
    <w:rsid w:val="00A819E5"/>
    <w:rsid w:val="00A924B7"/>
    <w:rsid w:val="00AA4EC8"/>
    <w:rsid w:val="00AF2A8E"/>
    <w:rsid w:val="00B17F58"/>
    <w:rsid w:val="00B212F8"/>
    <w:rsid w:val="00B453BE"/>
    <w:rsid w:val="00B73E10"/>
    <w:rsid w:val="00B97E94"/>
    <w:rsid w:val="00BA2D1B"/>
    <w:rsid w:val="00BC4B5D"/>
    <w:rsid w:val="00BC7F0B"/>
    <w:rsid w:val="00C249B4"/>
    <w:rsid w:val="00C62492"/>
    <w:rsid w:val="00C63B2C"/>
    <w:rsid w:val="00C96B76"/>
    <w:rsid w:val="00CB3BFE"/>
    <w:rsid w:val="00CD3E65"/>
    <w:rsid w:val="00D7531D"/>
    <w:rsid w:val="00D945D3"/>
    <w:rsid w:val="00DB0504"/>
    <w:rsid w:val="00DE0427"/>
    <w:rsid w:val="00DE3824"/>
    <w:rsid w:val="00E05EA5"/>
    <w:rsid w:val="00E4491C"/>
    <w:rsid w:val="00E46EAC"/>
    <w:rsid w:val="00E54D74"/>
    <w:rsid w:val="00E66B26"/>
    <w:rsid w:val="00E67264"/>
    <w:rsid w:val="00E76676"/>
    <w:rsid w:val="00E76C65"/>
    <w:rsid w:val="00E86275"/>
    <w:rsid w:val="00EA00E5"/>
    <w:rsid w:val="00EE21F2"/>
    <w:rsid w:val="00EF1CB2"/>
    <w:rsid w:val="00EF57F2"/>
    <w:rsid w:val="00F07C6A"/>
    <w:rsid w:val="00F200B5"/>
    <w:rsid w:val="00F233D8"/>
    <w:rsid w:val="00F72D98"/>
    <w:rsid w:val="00F77485"/>
    <w:rsid w:val="00FA5557"/>
    <w:rsid w:val="00FB5E6E"/>
    <w:rsid w:val="00FC06C4"/>
    <w:rsid w:val="01A176A6"/>
    <w:rsid w:val="093D4D54"/>
    <w:rsid w:val="0BDA67C9"/>
    <w:rsid w:val="1144676B"/>
    <w:rsid w:val="12482F23"/>
    <w:rsid w:val="1AF97477"/>
    <w:rsid w:val="1BE7606E"/>
    <w:rsid w:val="1C262569"/>
    <w:rsid w:val="1C8C02F2"/>
    <w:rsid w:val="20B90050"/>
    <w:rsid w:val="22BD6413"/>
    <w:rsid w:val="25043290"/>
    <w:rsid w:val="34D923E8"/>
    <w:rsid w:val="387F70C6"/>
    <w:rsid w:val="3903723A"/>
    <w:rsid w:val="3A234969"/>
    <w:rsid w:val="3B1324C5"/>
    <w:rsid w:val="3B854432"/>
    <w:rsid w:val="40BB6BEE"/>
    <w:rsid w:val="46BB16F0"/>
    <w:rsid w:val="495158D0"/>
    <w:rsid w:val="4DFF4A4D"/>
    <w:rsid w:val="4EE259CC"/>
    <w:rsid w:val="4EE33EB0"/>
    <w:rsid w:val="51412DBB"/>
    <w:rsid w:val="51A73407"/>
    <w:rsid w:val="520057B7"/>
    <w:rsid w:val="58816E9F"/>
    <w:rsid w:val="5C4A57F7"/>
    <w:rsid w:val="5D2C58CF"/>
    <w:rsid w:val="5EE44030"/>
    <w:rsid w:val="5F5275BE"/>
    <w:rsid w:val="61497093"/>
    <w:rsid w:val="6C967015"/>
    <w:rsid w:val="6D283351"/>
    <w:rsid w:val="6FC34CAF"/>
    <w:rsid w:val="6FD168D1"/>
    <w:rsid w:val="702A538B"/>
    <w:rsid w:val="76754E1A"/>
    <w:rsid w:val="76C557BD"/>
    <w:rsid w:val="7B57039E"/>
    <w:rsid w:val="7E6F23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b/>
      <w:spacing w:val="-10"/>
      <w:sz w:val="32"/>
      <w:szCs w:val="3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rFonts w:ascii="宋体" w:hAnsi="宋体" w:eastAsia="宋体" w:cs="Times New Roman"/>
      <w:b/>
      <w:spacing w:val="-10"/>
      <w:kern w:val="0"/>
      <w:sz w:val="18"/>
      <w:szCs w:val="18"/>
    </w:rPr>
  </w:style>
  <w:style w:type="character" w:customStyle="1" w:styleId="8">
    <w:name w:val="页脚 Char"/>
    <w:basedOn w:val="6"/>
    <w:link w:val="3"/>
    <w:autoRedefine/>
    <w:qFormat/>
    <w:uiPriority w:val="99"/>
    <w:rPr>
      <w:rFonts w:ascii="宋体" w:hAnsi="宋体" w:eastAsia="宋体" w:cs="Times New Roman"/>
      <w:b/>
      <w:spacing w:val="-10"/>
      <w:kern w:val="0"/>
      <w:sz w:val="18"/>
      <w:szCs w:val="18"/>
    </w:rPr>
  </w:style>
  <w:style w:type="character" w:customStyle="1" w:styleId="9">
    <w:name w:val="批注框文本 Char"/>
    <w:basedOn w:val="6"/>
    <w:link w:val="2"/>
    <w:autoRedefine/>
    <w:semiHidden/>
    <w:qFormat/>
    <w:uiPriority w:val="99"/>
    <w:rPr>
      <w:rFonts w:ascii="宋体" w:hAnsi="宋体" w:eastAsia="宋体" w:cs="Times New Roman"/>
      <w:b/>
      <w:spacing w:val="-1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赤峰市人力资源和社会保障局</Company>
  <Pages>1</Pages>
  <Words>186</Words>
  <Characters>1066</Characters>
  <Lines>8</Lines>
  <Paragraphs>2</Paragraphs>
  <TotalTime>24</TotalTime>
  <ScaleCrop>false</ScaleCrop>
  <LinksUpToDate>false</LinksUpToDate>
  <CharactersWithSpaces>1250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2022-04-29T01:07:00Z</dcterms:created>
  <dc:creator>Yuan</dc:creator>
  <cp:lastModifiedBy>～～～</cp:lastModifiedBy>
  <cp:lastPrinted>2024-03-26T04:23:00Z</cp:lastPrinted>
  <dcterms:modified xsi:type="dcterms:W3CDTF">2024-03-29T07:29:35Z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D844F7F61EB44EB58F2F4078E22C89DF_13</vt:lpwstr>
  </property>
</Properties>
</file>